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-19685</wp:posOffset>
            </wp:positionV>
            <wp:extent cx="5273675" cy="7033895"/>
            <wp:effectExtent l="0" t="0" r="3175" b="146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3"/>
        <w:tblW w:w="71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584"/>
        <w:gridCol w:w="560"/>
        <w:gridCol w:w="913"/>
        <w:gridCol w:w="1183"/>
        <w:gridCol w:w="660"/>
        <w:gridCol w:w="709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资　产　负　债　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会企01表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编制单位：　　　　　　　　　　                                         　　　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u w:val="single"/>
              </w:rPr>
              <w:t>　　　　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u w:val="single"/>
              </w:rPr>
              <w:t>　　　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月　　           　　　　 单位：元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资　　　产</w:t>
            </w:r>
          </w:p>
        </w:tc>
        <w:tc>
          <w:tcPr>
            <w:tcW w:w="58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5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年初数</w:t>
            </w:r>
          </w:p>
        </w:tc>
        <w:tc>
          <w:tcPr>
            <w:tcW w:w="91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期末数</w:t>
            </w:r>
          </w:p>
        </w:tc>
        <w:tc>
          <w:tcPr>
            <w:tcW w:w="1183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负债和所有者权益</w:t>
            </w:r>
          </w:p>
        </w:tc>
        <w:tc>
          <w:tcPr>
            <w:tcW w:w="6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70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年初数</w:t>
            </w:r>
          </w:p>
        </w:tc>
        <w:tc>
          <w:tcPr>
            <w:tcW w:w="113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期末数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3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8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1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（或股东权益）</w:t>
            </w:r>
          </w:p>
        </w:tc>
        <w:tc>
          <w:tcPr>
            <w:tcW w:w="6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流动资产：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流动负债：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货币资金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短期借款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短期投资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应付票据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应收票据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应付账款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应收股利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预收账款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应收利息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应付工资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应收账款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应付福利费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其他应收款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应付股利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预付账款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应交税金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应收补贴款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其他应付款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存货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其他应付款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待摊费用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预提费用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 一年内到期的长期债权投资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预计负债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其他流动资产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 一年内到期的长期负债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流动资产合计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其他流动负债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长期投资：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长期股权投资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流动负债合计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长期债权投资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长期负债：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长期投资合计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长期借款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固定资产：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应付债券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固定资产原价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长期应付款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　减：累计折旧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专项应付款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固定资产净值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其他长期负债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　减：固定资产减值准备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长期负债合计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固定资产净额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递延税项：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工程物资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44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递延税款贷项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在建工程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负债合计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固定资产清理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46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固定资产合计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所有者权益（或股东权益）：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无形资产及其他资产：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实收资本（或股本）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无形资产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　减：已归还投资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长期待摊费用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52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 实收资本（或股本）净额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其他长期资产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53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资本公积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无形资产及其他资产合计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盈余公积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　其中：法定公益金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递延税项：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未分配利润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递延税款借项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61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所有者权益（或股东权益）合计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资产总计</w:t>
            </w:r>
          </w:p>
        </w:tc>
        <w:tc>
          <w:tcPr>
            <w:tcW w:w="58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67</w:t>
            </w: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9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负债和所有者权益（或股东权益）总计</w:t>
            </w:r>
          </w:p>
        </w:tc>
        <w:tc>
          <w:tcPr>
            <w:tcW w:w="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103" w:type="dxa"/>
            <w:gridSpan w:val="8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企业负责人：　　　　　　主管会计：　　　　制表：　　　　报出日期：　　年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月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日</w:t>
            </w:r>
          </w:p>
        </w:tc>
      </w:tr>
    </w:tbl>
    <w:p/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pacing w:line="500" w:lineRule="exact"/>
        <w:rPr>
          <w:rFonts w:ascii="仿宋_GB2312" w:eastAsia="仿宋_GB2312"/>
          <w:sz w:val="28"/>
          <w:szCs w:val="28"/>
        </w:rPr>
      </w:pPr>
    </w:p>
    <w:tbl>
      <w:tblPr>
        <w:tblStyle w:val="3"/>
        <w:tblW w:w="843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404"/>
        <w:gridCol w:w="566"/>
        <w:gridCol w:w="2904"/>
        <w:gridCol w:w="404"/>
        <w:gridCol w:w="97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金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流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量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财会年企03表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编制:                                                              年度                                                  单位:元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项                         目</w:t>
            </w:r>
          </w:p>
        </w:tc>
        <w:tc>
          <w:tcPr>
            <w:tcW w:w="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5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金    额</w:t>
            </w:r>
          </w:p>
        </w:tc>
        <w:tc>
          <w:tcPr>
            <w:tcW w:w="29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项                         目</w:t>
            </w:r>
          </w:p>
        </w:tc>
        <w:tc>
          <w:tcPr>
            <w:tcW w:w="40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金    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一、经营活动产生的现金流量: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现金流入小计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销售商品、提供劳务收到的现金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购建固定资产、无形资产和其他长期资产所支付的现金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19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收到的税费返还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投资所支付的现金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收到的其他与经营活动有关的现金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   其中：购买子公司所支付的现金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21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现金流入小计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支付的其他与投资活动有关的现金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22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购买商品、接受劳务支付的现金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                    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 </w:t>
            </w:r>
            <w:r>
              <w:rPr>
                <w:rFonts w:hint="eastAsia" w:ascii="宋体" w:hAnsi="宋体"/>
                <w:b/>
                <w:bCs/>
                <w:kern w:val="0"/>
                <w:sz w:val="20"/>
                <w:szCs w:val="20"/>
              </w:rPr>
              <w:t>现金流出小计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23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支付给职工以及为职工支付的现金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投资活动产生的现金流量净额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支付的各项税费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 xml:space="preserve">三、筹资活动产生的现金流量：    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支付的其他与经营活动有关的现金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吸收投资所收到的现金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26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现金流出小计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借款所收到的现金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经营活动产生的现金流量净额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收到的其他与筹资活动有关的现金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28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二、投资活动产生的现金金流量：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   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 xml:space="preserve"> 现金流入小计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 xml:space="preserve">   收回投资所收到的现金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偿还债务所支付的现金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   其中:出售子公司所收到的现金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分配股利、利润或偿付利息所支付现金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取得投资收益所收到的现金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支付的其他与筹资活动有关的现金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32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处置固定资产、无形资产和其他长期资产所收回的现金净额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         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现金流出小计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33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收到的其他与投资活动有关的现金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筹资活动产生的现金流量净额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34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现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金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流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量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会年企03表(续表)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4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编制:                                                              年度                                              单位:元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项                         目</w:t>
            </w:r>
          </w:p>
        </w:tc>
        <w:tc>
          <w:tcPr>
            <w:tcW w:w="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5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金    额</w:t>
            </w:r>
          </w:p>
        </w:tc>
        <w:tc>
          <w:tcPr>
            <w:tcW w:w="29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项                         目</w:t>
            </w:r>
          </w:p>
        </w:tc>
        <w:tc>
          <w:tcPr>
            <w:tcW w:w="40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行次</w:t>
            </w:r>
          </w:p>
        </w:tc>
        <w:tc>
          <w:tcPr>
            <w:tcW w:w="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金    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四、汇率变动对现金的影响：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35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递延税款贷款贷项（减：借项）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52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五、现金及现金等价物净增加额：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存货的减少（减：增加）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53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补充资料：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37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经营性应收项目的减少（减：增加）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54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1、将净利润调节为经营活动的现金流量：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38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经营性应付项目的增加（减：减少）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55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净利润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39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其他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56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加:*少数股东损益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经营活动产生的现金流量净额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57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减：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*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未确认的投资损失（以“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+”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号填列）  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41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2、不涉及现金收支的投资和筹资活动：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58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加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: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计提的资产减值准备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42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债务转为资本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59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固定资产折旧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43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一年内到期的可转换公司债券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60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无形资产摊销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44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融资租入固定资产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61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长期待摊费用推销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62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待摊费用减少（减：增加）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46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3、现金及现金等价物净增加情况：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63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—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预提费用增加（减：减少）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47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现金的期末余额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64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处置固定资产、无形资产和其他长期资产的损失（减：收益）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减：现金的期初余额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65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 xml:space="preserve">         -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固定资产报废损失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49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加：现金等价物的期末余额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66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财务费用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减：现金等价物的期初余额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67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 Narrow" w:hAnsi="Arial Narrow" w:cs="宋体"/>
                <w:kern w:val="0"/>
                <w:sz w:val="20"/>
                <w:szCs w:val="20"/>
              </w:rPr>
            </w:pPr>
            <w:r>
              <w:rPr>
                <w:rFonts w:ascii="Arial Narrow" w:hAnsi="Arial Narrow" w:cs="宋体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1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  投资损失（减：收益）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51</w:t>
            </w:r>
          </w:p>
        </w:tc>
        <w:tc>
          <w:tcPr>
            <w:tcW w:w="5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      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现金及现金等价物净增加额</w:t>
            </w:r>
          </w:p>
        </w:tc>
        <w:tc>
          <w:tcPr>
            <w:tcW w:w="40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68</w:t>
            </w:r>
          </w:p>
        </w:tc>
        <w:tc>
          <w:tcPr>
            <w:tcW w:w="97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 xml:space="preserve"> -   </w:t>
            </w:r>
          </w:p>
        </w:tc>
      </w:tr>
    </w:tbl>
    <w:p/>
    <w:p>
      <w:pPr>
        <w:spacing w:line="500" w:lineRule="exact"/>
        <w:rPr>
          <w:rFonts w:ascii="仿宋_GB2312" w:eastAsia="仿宋_GB2312"/>
          <w:sz w:val="28"/>
          <w:szCs w:val="28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5096510</wp:posOffset>
            </wp:positionV>
            <wp:extent cx="5742305" cy="7083425"/>
            <wp:effectExtent l="0" t="0" r="10795" b="3175"/>
            <wp:wrapNone/>
            <wp:docPr id="24" name="图片 24" descr="审计报告之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审计报告之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08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312420</wp:posOffset>
            </wp:positionV>
            <wp:extent cx="6136005" cy="4311015"/>
            <wp:effectExtent l="0" t="0" r="17145" b="13335"/>
            <wp:wrapNone/>
            <wp:docPr id="26" name="图片 26" descr="审计报告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审计报告之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31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6864350</wp:posOffset>
            </wp:positionV>
            <wp:extent cx="5844540" cy="8286750"/>
            <wp:effectExtent l="0" t="0" r="3810" b="0"/>
            <wp:wrapNone/>
            <wp:docPr id="25" name="图片 25" descr="审计报告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审计报告之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-1272540</wp:posOffset>
            </wp:positionV>
            <wp:extent cx="5125720" cy="7298055"/>
            <wp:effectExtent l="0" t="0" r="17780" b="17145"/>
            <wp:wrapNone/>
            <wp:docPr id="27" name="图片 27" descr="审计报告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审计报告之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729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EC774F"/>
    <w:rsid w:val="47EC774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2018-06-21T08:08:00Z</dcterms:created>
  <dc:creator>希望之光</dc:creator>
  <cp:lastModifiedBy>希望之光</cp:lastModifiedBy>
  <dcterms:modified xsi:type="dcterms:W3CDTF">2018-06-21T08:12:39Z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